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C03" w:rsidRPr="00983C03" w:rsidRDefault="00983C03" w:rsidP="00983C03">
      <w:pPr>
        <w:pStyle w:val="NormalWeb"/>
        <w:rPr>
          <w:b/>
          <w:bCs/>
        </w:rPr>
      </w:pPr>
      <w:r w:rsidRPr="00983C03">
        <w:rPr>
          <w:b/>
          <w:bCs/>
        </w:rPr>
        <w:t xml:space="preserve">For Immediate Release </w:t>
      </w:r>
    </w:p>
    <w:p w:rsidR="00983C03" w:rsidRPr="00983C03" w:rsidRDefault="00983C03" w:rsidP="00983C03">
      <w:pPr>
        <w:pStyle w:val="NormalWeb"/>
        <w:rPr>
          <w:b/>
          <w:bCs/>
        </w:rPr>
      </w:pPr>
      <w:r w:rsidRPr="00983C03">
        <w:rPr>
          <w:b/>
          <w:bCs/>
        </w:rPr>
        <w:t>CERPA Analyzes Ghana’s Current Cedi Depreciation: Causes, Impacts, and Policy Options</w:t>
      </w:r>
    </w:p>
    <w:p w:rsidR="00983C03" w:rsidRDefault="00983C03" w:rsidP="00983C03">
      <w:pPr>
        <w:pStyle w:val="NormalWeb"/>
        <w:rPr>
          <w:rFonts w:ascii="Arial" w:hAnsi="Arial" w:cs="Arial"/>
          <w:sz w:val="22"/>
          <w:szCs w:val="22"/>
        </w:rPr>
      </w:pPr>
      <w:r w:rsidRPr="00983C03">
        <w:rPr>
          <w:rFonts w:ascii="Arial" w:hAnsi="Arial" w:cs="Arial"/>
          <w:sz w:val="22"/>
          <w:szCs w:val="22"/>
        </w:rPr>
        <w:t>The Centre for Economic Research and Policy Analysis (CERPA) has released a new policy paper examining the recent depreciation of the Ghanaian cedi after a brief period of strong appreciation earlier in the year. The paper highlights the drivers of the currency’s weakening, its implications for the broader economy, and policy measures needed to restore and sustain exchange rate stability.</w:t>
      </w:r>
    </w:p>
    <w:p w:rsidR="00BC7193" w:rsidRPr="00983C03" w:rsidRDefault="00BC7193" w:rsidP="00983C03">
      <w:pPr>
        <w:pStyle w:val="NormalWeb"/>
        <w:rPr>
          <w:rFonts w:ascii="Arial" w:hAnsi="Arial" w:cs="Arial"/>
          <w:sz w:val="22"/>
          <w:szCs w:val="22"/>
        </w:rPr>
      </w:pPr>
      <w:r w:rsidRPr="00BC7193">
        <w:rPr>
          <w:rFonts w:ascii="Arial" w:hAnsi="Arial" w:cs="Arial"/>
          <w:sz w:val="22"/>
          <w:szCs w:val="22"/>
          <w:highlight w:val="yellow"/>
        </w:rPr>
        <w:t>Read the full report here</w:t>
      </w:r>
    </w:p>
    <w:p w:rsidR="00983C03" w:rsidRPr="00983C03" w:rsidRDefault="00983C03" w:rsidP="00983C03">
      <w:pPr>
        <w:pStyle w:val="NormalWeb"/>
        <w:rPr>
          <w:rFonts w:ascii="Arial" w:hAnsi="Arial" w:cs="Arial"/>
          <w:sz w:val="22"/>
          <w:szCs w:val="22"/>
        </w:rPr>
      </w:pPr>
      <w:r w:rsidRPr="00983C03">
        <w:rPr>
          <w:rFonts w:ascii="Arial" w:hAnsi="Arial" w:cs="Arial"/>
          <w:sz w:val="22"/>
          <w:szCs w:val="22"/>
        </w:rPr>
        <w:t>At the end of 2024, the cedi was one of Africa’s weakest-performing currencies, contributing to inflationary pressures and economic hardship. In early 2025, the currency staged a sharp rebound and was briefly recognised as one of the world’s best performers. However, by September 2025, the cedi has begun to depreciate again. As of September 10, it traded at approximately GHS 12.11 per US dollar on the interbank market, and between GHS 13.20 and GHS 13.45 at forex bureaus. Against the British pound, the cedi was quoted at GHS 16.38 on the interbank market and up to GHS 16.96 at forex bureaus, while against the euro, it hovered around GHS 14.19 interbank and GHS 14.72 at retail.</w:t>
      </w:r>
    </w:p>
    <w:p w:rsidR="00983C03" w:rsidRPr="00983C03" w:rsidRDefault="00983C03" w:rsidP="00983C03">
      <w:pPr>
        <w:pStyle w:val="NormalWeb"/>
        <w:rPr>
          <w:rFonts w:ascii="Arial" w:hAnsi="Arial" w:cs="Arial"/>
          <w:b/>
          <w:bCs/>
          <w:i/>
          <w:iCs/>
          <w:sz w:val="22"/>
          <w:szCs w:val="22"/>
        </w:rPr>
      </w:pPr>
      <w:r w:rsidRPr="00983C03">
        <w:rPr>
          <w:rFonts w:ascii="Arial" w:hAnsi="Arial" w:cs="Arial"/>
          <w:b/>
          <w:bCs/>
          <w:i/>
          <w:iCs/>
          <w:sz w:val="22"/>
          <w:szCs w:val="22"/>
        </w:rPr>
        <w:t>CERPA’s Analysis of the Drivers</w:t>
      </w:r>
      <w:r w:rsidRPr="00983C03">
        <w:rPr>
          <w:rFonts w:ascii="Arial" w:hAnsi="Arial" w:cs="Arial"/>
          <w:b/>
          <w:bCs/>
          <w:i/>
          <w:iCs/>
          <w:sz w:val="22"/>
          <w:szCs w:val="22"/>
        </w:rPr>
        <w:t xml:space="preserve"> of the Cedi’s Depreciation</w:t>
      </w:r>
      <w:r w:rsidRPr="00983C03">
        <w:rPr>
          <w:rFonts w:ascii="Arial" w:hAnsi="Arial" w:cs="Arial"/>
          <w:b/>
          <w:bCs/>
          <w:i/>
          <w:iCs/>
          <w:sz w:val="22"/>
          <w:szCs w:val="22"/>
        </w:rPr>
        <w:t>:</w:t>
      </w:r>
    </w:p>
    <w:p w:rsidR="00983C03" w:rsidRPr="00983C03" w:rsidRDefault="00983C03" w:rsidP="00983C03">
      <w:pPr>
        <w:pStyle w:val="NormalWeb"/>
        <w:numPr>
          <w:ilvl w:val="0"/>
          <w:numId w:val="1"/>
        </w:numPr>
        <w:rPr>
          <w:rFonts w:ascii="Arial" w:hAnsi="Arial" w:cs="Arial"/>
          <w:sz w:val="22"/>
          <w:szCs w:val="22"/>
        </w:rPr>
      </w:pPr>
      <w:r w:rsidRPr="00983C03">
        <w:rPr>
          <w:rFonts w:ascii="Arial" w:hAnsi="Arial" w:cs="Arial"/>
          <w:sz w:val="22"/>
          <w:szCs w:val="22"/>
        </w:rPr>
        <w:t>Seasonal forex demand linked to imports, including fuel and essential goods.</w:t>
      </w:r>
    </w:p>
    <w:p w:rsidR="00983C03" w:rsidRPr="00983C03" w:rsidRDefault="00983C03" w:rsidP="00983C03">
      <w:pPr>
        <w:pStyle w:val="NormalWeb"/>
        <w:numPr>
          <w:ilvl w:val="0"/>
          <w:numId w:val="1"/>
        </w:numPr>
        <w:rPr>
          <w:rFonts w:ascii="Arial" w:hAnsi="Arial" w:cs="Arial"/>
          <w:sz w:val="22"/>
          <w:szCs w:val="22"/>
        </w:rPr>
      </w:pPr>
      <w:r w:rsidRPr="00983C03">
        <w:rPr>
          <w:rFonts w:ascii="Arial" w:hAnsi="Arial" w:cs="Arial"/>
          <w:sz w:val="22"/>
          <w:szCs w:val="22"/>
        </w:rPr>
        <w:t>Limited foreign exchange inflows from exports and remittances.</w:t>
      </w:r>
    </w:p>
    <w:p w:rsidR="00983C03" w:rsidRPr="00983C03" w:rsidRDefault="00983C03" w:rsidP="00983C03">
      <w:pPr>
        <w:pStyle w:val="NormalWeb"/>
        <w:numPr>
          <w:ilvl w:val="0"/>
          <w:numId w:val="1"/>
        </w:numPr>
        <w:rPr>
          <w:rFonts w:ascii="Arial" w:hAnsi="Arial" w:cs="Arial"/>
          <w:sz w:val="22"/>
          <w:szCs w:val="22"/>
        </w:rPr>
      </w:pPr>
      <w:r w:rsidRPr="00983C03">
        <w:rPr>
          <w:rFonts w:ascii="Arial" w:hAnsi="Arial" w:cs="Arial"/>
          <w:sz w:val="22"/>
          <w:szCs w:val="22"/>
        </w:rPr>
        <w:t>Persistent structural challenges in the external sector.</w:t>
      </w:r>
    </w:p>
    <w:p w:rsidR="00983C03" w:rsidRPr="00983C03" w:rsidRDefault="00983C03" w:rsidP="00983C03">
      <w:pPr>
        <w:pStyle w:val="NormalWeb"/>
        <w:numPr>
          <w:ilvl w:val="0"/>
          <w:numId w:val="1"/>
        </w:numPr>
        <w:rPr>
          <w:rFonts w:ascii="Arial" w:hAnsi="Arial" w:cs="Arial"/>
          <w:sz w:val="22"/>
          <w:szCs w:val="22"/>
        </w:rPr>
      </w:pPr>
      <w:r w:rsidRPr="00983C03">
        <w:rPr>
          <w:rFonts w:ascii="Arial" w:hAnsi="Arial" w:cs="Arial"/>
          <w:sz w:val="22"/>
          <w:szCs w:val="22"/>
        </w:rPr>
        <w:t>Market speculation and demand pressures at forex bureaus.</w:t>
      </w:r>
    </w:p>
    <w:p w:rsidR="00983C03" w:rsidRPr="00983C03" w:rsidRDefault="00983C03" w:rsidP="00983C03">
      <w:pPr>
        <w:pStyle w:val="NormalWeb"/>
        <w:rPr>
          <w:rFonts w:ascii="Arial" w:hAnsi="Arial" w:cs="Arial"/>
          <w:b/>
          <w:bCs/>
          <w:i/>
          <w:iCs/>
          <w:sz w:val="22"/>
          <w:szCs w:val="22"/>
        </w:rPr>
      </w:pPr>
      <w:r w:rsidRPr="00983C03">
        <w:rPr>
          <w:rFonts w:ascii="Arial" w:hAnsi="Arial" w:cs="Arial"/>
          <w:b/>
          <w:bCs/>
          <w:i/>
          <w:iCs/>
          <w:sz w:val="22"/>
          <w:szCs w:val="22"/>
        </w:rPr>
        <w:t>Implications for the Economy:</w:t>
      </w:r>
    </w:p>
    <w:p w:rsidR="00983C03" w:rsidRPr="00983C03" w:rsidRDefault="00983C03" w:rsidP="00983C03">
      <w:pPr>
        <w:pStyle w:val="NormalWeb"/>
        <w:numPr>
          <w:ilvl w:val="0"/>
          <w:numId w:val="2"/>
        </w:numPr>
        <w:rPr>
          <w:rFonts w:ascii="Arial" w:hAnsi="Arial" w:cs="Arial"/>
          <w:sz w:val="22"/>
          <w:szCs w:val="22"/>
        </w:rPr>
      </w:pPr>
      <w:r w:rsidRPr="00983C03">
        <w:rPr>
          <w:rFonts w:ascii="Arial" w:hAnsi="Arial" w:cs="Arial"/>
          <w:sz w:val="22"/>
          <w:szCs w:val="22"/>
        </w:rPr>
        <w:t>Renewed inflationary pressures, with risks of rising transport fares and consumer prices.</w:t>
      </w:r>
    </w:p>
    <w:p w:rsidR="00983C03" w:rsidRPr="00983C03" w:rsidRDefault="00983C03" w:rsidP="00983C03">
      <w:pPr>
        <w:pStyle w:val="NormalWeb"/>
        <w:numPr>
          <w:ilvl w:val="0"/>
          <w:numId w:val="2"/>
        </w:numPr>
        <w:rPr>
          <w:rFonts w:ascii="Arial" w:hAnsi="Arial" w:cs="Arial"/>
          <w:sz w:val="22"/>
          <w:szCs w:val="22"/>
        </w:rPr>
      </w:pPr>
      <w:r w:rsidRPr="00983C03">
        <w:rPr>
          <w:rFonts w:ascii="Arial" w:hAnsi="Arial" w:cs="Arial"/>
          <w:sz w:val="22"/>
          <w:szCs w:val="22"/>
        </w:rPr>
        <w:t>Increased cost of external debt servicing in local currency terms.</w:t>
      </w:r>
    </w:p>
    <w:p w:rsidR="00983C03" w:rsidRPr="00983C03" w:rsidRDefault="00983C03" w:rsidP="00983C03">
      <w:pPr>
        <w:pStyle w:val="NormalWeb"/>
        <w:numPr>
          <w:ilvl w:val="0"/>
          <w:numId w:val="2"/>
        </w:numPr>
        <w:rPr>
          <w:rFonts w:ascii="Arial" w:hAnsi="Arial" w:cs="Arial"/>
          <w:sz w:val="22"/>
          <w:szCs w:val="22"/>
        </w:rPr>
      </w:pPr>
      <w:r w:rsidRPr="00983C03">
        <w:rPr>
          <w:rFonts w:ascii="Arial" w:hAnsi="Arial" w:cs="Arial"/>
          <w:sz w:val="22"/>
          <w:szCs w:val="22"/>
        </w:rPr>
        <w:t>Pressure on business confidence, especially for firms reliant on imports.</w:t>
      </w:r>
    </w:p>
    <w:p w:rsidR="00983C03" w:rsidRPr="00983C03" w:rsidRDefault="00983C03" w:rsidP="00983C03">
      <w:pPr>
        <w:pStyle w:val="NormalWeb"/>
        <w:numPr>
          <w:ilvl w:val="0"/>
          <w:numId w:val="2"/>
        </w:numPr>
        <w:rPr>
          <w:rFonts w:ascii="Arial" w:hAnsi="Arial" w:cs="Arial"/>
          <w:sz w:val="22"/>
          <w:szCs w:val="22"/>
        </w:rPr>
      </w:pPr>
      <w:r w:rsidRPr="00983C03">
        <w:rPr>
          <w:rFonts w:ascii="Arial" w:hAnsi="Arial" w:cs="Arial"/>
          <w:sz w:val="22"/>
          <w:szCs w:val="22"/>
        </w:rPr>
        <w:t>Potential slowdown in investor confidence if depreciation persists.</w:t>
      </w:r>
    </w:p>
    <w:p w:rsidR="00983C03" w:rsidRPr="00983C03" w:rsidRDefault="00983C03" w:rsidP="00983C03">
      <w:pPr>
        <w:pStyle w:val="NormalWeb"/>
        <w:rPr>
          <w:rFonts w:ascii="Arial" w:hAnsi="Arial" w:cs="Arial"/>
          <w:b/>
          <w:bCs/>
          <w:i/>
          <w:iCs/>
          <w:sz w:val="22"/>
          <w:szCs w:val="22"/>
        </w:rPr>
      </w:pPr>
      <w:r w:rsidRPr="00983C03">
        <w:rPr>
          <w:rFonts w:ascii="Arial" w:hAnsi="Arial" w:cs="Arial"/>
          <w:b/>
          <w:bCs/>
          <w:i/>
          <w:iCs/>
          <w:sz w:val="22"/>
          <w:szCs w:val="22"/>
        </w:rPr>
        <w:t>CERPA’s Policy Recommendations:</w:t>
      </w:r>
    </w:p>
    <w:p w:rsidR="00983C03" w:rsidRPr="00983C03" w:rsidRDefault="00983C03" w:rsidP="00983C03">
      <w:pPr>
        <w:pStyle w:val="NormalWeb"/>
        <w:numPr>
          <w:ilvl w:val="0"/>
          <w:numId w:val="3"/>
        </w:numPr>
        <w:rPr>
          <w:rFonts w:ascii="Arial" w:hAnsi="Arial" w:cs="Arial"/>
          <w:sz w:val="22"/>
          <w:szCs w:val="22"/>
        </w:rPr>
      </w:pPr>
      <w:r w:rsidRPr="00983C03">
        <w:rPr>
          <w:rFonts w:ascii="Arial" w:hAnsi="Arial" w:cs="Arial"/>
          <w:sz w:val="22"/>
          <w:szCs w:val="22"/>
        </w:rPr>
        <w:t>Strengthen export diversification, particularly in non-traditional sectors, to boost forex earnings.</w:t>
      </w:r>
    </w:p>
    <w:p w:rsidR="00983C03" w:rsidRPr="00983C03" w:rsidRDefault="00983C03" w:rsidP="00983C03">
      <w:pPr>
        <w:pStyle w:val="NormalWeb"/>
        <w:numPr>
          <w:ilvl w:val="0"/>
          <w:numId w:val="3"/>
        </w:numPr>
        <w:rPr>
          <w:rFonts w:ascii="Arial" w:hAnsi="Arial" w:cs="Arial"/>
          <w:sz w:val="22"/>
          <w:szCs w:val="22"/>
        </w:rPr>
      </w:pPr>
      <w:r w:rsidRPr="00983C03">
        <w:rPr>
          <w:rFonts w:ascii="Arial" w:hAnsi="Arial" w:cs="Arial"/>
          <w:sz w:val="22"/>
          <w:szCs w:val="22"/>
        </w:rPr>
        <w:t>Improve transparency and liquidity management in the forex market, including tighter monitoring of retail forex activity.</w:t>
      </w:r>
    </w:p>
    <w:p w:rsidR="00983C03" w:rsidRPr="00983C03" w:rsidRDefault="00983C03" w:rsidP="00983C03">
      <w:pPr>
        <w:pStyle w:val="NormalWeb"/>
        <w:numPr>
          <w:ilvl w:val="0"/>
          <w:numId w:val="3"/>
        </w:numPr>
        <w:rPr>
          <w:rFonts w:ascii="Arial" w:hAnsi="Arial" w:cs="Arial"/>
          <w:sz w:val="22"/>
          <w:szCs w:val="22"/>
        </w:rPr>
      </w:pPr>
      <w:r w:rsidRPr="00983C03">
        <w:rPr>
          <w:rFonts w:ascii="Arial" w:hAnsi="Arial" w:cs="Arial"/>
          <w:sz w:val="22"/>
          <w:szCs w:val="22"/>
        </w:rPr>
        <w:t>Accelerate reforms in the energy and mining sectors to secure consistent forex inflows.</w:t>
      </w:r>
    </w:p>
    <w:p w:rsidR="00983C03" w:rsidRPr="00983C03" w:rsidRDefault="00983C03" w:rsidP="00983C03">
      <w:pPr>
        <w:pStyle w:val="NormalWeb"/>
        <w:numPr>
          <w:ilvl w:val="0"/>
          <w:numId w:val="3"/>
        </w:numPr>
        <w:rPr>
          <w:rFonts w:ascii="Arial" w:hAnsi="Arial" w:cs="Arial"/>
          <w:sz w:val="22"/>
          <w:szCs w:val="22"/>
        </w:rPr>
      </w:pPr>
      <w:r w:rsidRPr="00983C03">
        <w:rPr>
          <w:rFonts w:ascii="Arial" w:hAnsi="Arial" w:cs="Arial"/>
          <w:sz w:val="22"/>
          <w:szCs w:val="22"/>
        </w:rPr>
        <w:t>Deepen local production capacity to reduce import dependency.</w:t>
      </w:r>
    </w:p>
    <w:p w:rsidR="00983C03" w:rsidRPr="00983C03" w:rsidRDefault="00983C03" w:rsidP="00983C03">
      <w:pPr>
        <w:pStyle w:val="NormalWeb"/>
        <w:numPr>
          <w:ilvl w:val="0"/>
          <w:numId w:val="3"/>
        </w:numPr>
        <w:rPr>
          <w:rFonts w:ascii="Arial" w:hAnsi="Arial" w:cs="Arial"/>
          <w:sz w:val="22"/>
          <w:szCs w:val="22"/>
        </w:rPr>
      </w:pPr>
      <w:r w:rsidRPr="00983C03">
        <w:rPr>
          <w:rFonts w:ascii="Arial" w:hAnsi="Arial" w:cs="Arial"/>
          <w:sz w:val="22"/>
          <w:szCs w:val="22"/>
        </w:rPr>
        <w:t>Maintain fiscal discipline to complement monetary policy interventions.</w:t>
      </w:r>
    </w:p>
    <w:p w:rsidR="00983C03" w:rsidRPr="00983C03" w:rsidRDefault="00983C03" w:rsidP="00983C03">
      <w:pPr>
        <w:pStyle w:val="NormalWeb"/>
        <w:rPr>
          <w:rFonts w:ascii="Arial" w:hAnsi="Arial" w:cs="Arial"/>
          <w:sz w:val="22"/>
          <w:szCs w:val="22"/>
        </w:rPr>
      </w:pPr>
      <w:r w:rsidRPr="00983C03">
        <w:rPr>
          <w:rFonts w:ascii="Arial" w:hAnsi="Arial" w:cs="Arial"/>
          <w:sz w:val="22"/>
          <w:szCs w:val="22"/>
        </w:rPr>
        <w:t>CERPA concludes that while short-term factors have triggered the cedi’s latest depreciation, Ghana’s long-term exchange rate stability depends on structural reforms that enhance production, diversify exports, and strengthen confidence in economic management.</w:t>
      </w:r>
    </w:p>
    <w:p w:rsidR="00983C03" w:rsidRDefault="00983C03" w:rsidP="00983C03">
      <w:pPr>
        <w:pStyle w:val="NormalWeb"/>
        <w:rPr>
          <w:rFonts w:ascii="Arial" w:hAnsi="Arial" w:cs="Arial"/>
          <w:sz w:val="22"/>
          <w:szCs w:val="22"/>
        </w:rPr>
      </w:pPr>
    </w:p>
    <w:p w:rsidR="00983C03" w:rsidRPr="00983C03" w:rsidRDefault="00983C03" w:rsidP="00983C03">
      <w:pPr>
        <w:pStyle w:val="NormalWeb"/>
        <w:rPr>
          <w:rFonts w:ascii="Arial" w:hAnsi="Arial" w:cs="Arial"/>
          <w:b/>
          <w:bCs/>
          <w:sz w:val="22"/>
          <w:szCs w:val="22"/>
        </w:rPr>
      </w:pPr>
      <w:r w:rsidRPr="00983C03">
        <w:rPr>
          <w:rFonts w:ascii="Arial" w:hAnsi="Arial" w:cs="Arial"/>
          <w:b/>
          <w:bCs/>
          <w:sz w:val="22"/>
          <w:szCs w:val="22"/>
        </w:rPr>
        <w:t xml:space="preserve">About CERPA </w:t>
      </w:r>
    </w:p>
    <w:p w:rsidR="00983C03" w:rsidRPr="00983C03" w:rsidRDefault="00983C03" w:rsidP="00983C03">
      <w:pPr>
        <w:pStyle w:val="NormalWeb"/>
        <w:rPr>
          <w:rFonts w:ascii="Arial" w:hAnsi="Arial" w:cs="Arial"/>
          <w:sz w:val="22"/>
          <w:szCs w:val="22"/>
        </w:rPr>
      </w:pPr>
      <w:r w:rsidRPr="00983C03">
        <w:rPr>
          <w:rFonts w:ascii="Arial" w:hAnsi="Arial" w:cs="Arial"/>
          <w:sz w:val="22"/>
          <w:szCs w:val="22"/>
        </w:rPr>
        <w:t>The Centre for Economic Research and Policy Analysis (CERPA) is an independent, Ghana-based think tank dedicated to delivering data-driven research and actionable policy recommendations that support inclusive and sustainable economic transformation.</w:t>
      </w:r>
    </w:p>
    <w:p w:rsidR="00983C03" w:rsidRPr="00983C03" w:rsidRDefault="00983C03">
      <w:pPr>
        <w:rPr>
          <w:rFonts w:ascii="Arial" w:hAnsi="Arial" w:cs="Arial"/>
          <w:sz w:val="22"/>
          <w:szCs w:val="22"/>
        </w:rPr>
      </w:pPr>
      <w:r>
        <w:rPr>
          <w:rFonts w:ascii="Arial" w:hAnsi="Arial" w:cs="Arial"/>
          <w:sz w:val="22"/>
          <w:szCs w:val="22"/>
        </w:rPr>
        <w:t xml:space="preserve">For more information, visit </w:t>
      </w:r>
      <w:hyperlink r:id="rId5" w:history="1">
        <w:r w:rsidRPr="00192A12">
          <w:rPr>
            <w:rStyle w:val="Hyperlink"/>
            <w:rFonts w:ascii="Arial" w:hAnsi="Arial" w:cs="Arial"/>
            <w:sz w:val="22"/>
            <w:szCs w:val="22"/>
          </w:rPr>
          <w:t>www.cerpagh.com</w:t>
        </w:r>
      </w:hyperlink>
      <w:r>
        <w:rPr>
          <w:rFonts w:ascii="Arial" w:hAnsi="Arial" w:cs="Arial"/>
          <w:sz w:val="22"/>
          <w:szCs w:val="22"/>
        </w:rPr>
        <w:t xml:space="preserve"> </w:t>
      </w:r>
    </w:p>
    <w:sectPr w:rsidR="00983C03" w:rsidRPr="00983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5133"/>
    <w:multiLevelType w:val="multilevel"/>
    <w:tmpl w:val="9FF0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D414A"/>
    <w:multiLevelType w:val="multilevel"/>
    <w:tmpl w:val="C9C4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83600"/>
    <w:multiLevelType w:val="multilevel"/>
    <w:tmpl w:val="D5D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23200">
    <w:abstractNumId w:val="1"/>
  </w:num>
  <w:num w:numId="2" w16cid:durableId="1315330838">
    <w:abstractNumId w:val="2"/>
  </w:num>
  <w:num w:numId="3" w16cid:durableId="116674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03"/>
    <w:rsid w:val="00983C03"/>
    <w:rsid w:val="00BC7193"/>
    <w:rsid w:val="00EF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1308"/>
  <w15:chartTrackingRefBased/>
  <w15:docId w15:val="{BCD2EA8A-616D-6445-862C-7BD2BEB7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C03"/>
    <w:rPr>
      <w:rFonts w:eastAsiaTheme="majorEastAsia" w:cstheme="majorBidi"/>
      <w:color w:val="272727" w:themeColor="text1" w:themeTint="D8"/>
    </w:rPr>
  </w:style>
  <w:style w:type="paragraph" w:styleId="Title">
    <w:name w:val="Title"/>
    <w:basedOn w:val="Normal"/>
    <w:next w:val="Normal"/>
    <w:link w:val="TitleChar"/>
    <w:uiPriority w:val="10"/>
    <w:qFormat/>
    <w:rsid w:val="0098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C03"/>
    <w:pPr>
      <w:spacing w:before="160"/>
      <w:jc w:val="center"/>
    </w:pPr>
    <w:rPr>
      <w:i/>
      <w:iCs/>
      <w:color w:val="404040" w:themeColor="text1" w:themeTint="BF"/>
    </w:rPr>
  </w:style>
  <w:style w:type="character" w:customStyle="1" w:styleId="QuoteChar">
    <w:name w:val="Quote Char"/>
    <w:basedOn w:val="DefaultParagraphFont"/>
    <w:link w:val="Quote"/>
    <w:uiPriority w:val="29"/>
    <w:rsid w:val="00983C03"/>
    <w:rPr>
      <w:i/>
      <w:iCs/>
      <w:color w:val="404040" w:themeColor="text1" w:themeTint="BF"/>
    </w:rPr>
  </w:style>
  <w:style w:type="paragraph" w:styleId="ListParagraph">
    <w:name w:val="List Paragraph"/>
    <w:basedOn w:val="Normal"/>
    <w:uiPriority w:val="34"/>
    <w:qFormat/>
    <w:rsid w:val="00983C03"/>
    <w:pPr>
      <w:ind w:left="720"/>
      <w:contextualSpacing/>
    </w:pPr>
  </w:style>
  <w:style w:type="character" w:styleId="IntenseEmphasis">
    <w:name w:val="Intense Emphasis"/>
    <w:basedOn w:val="DefaultParagraphFont"/>
    <w:uiPriority w:val="21"/>
    <w:qFormat/>
    <w:rsid w:val="00983C03"/>
    <w:rPr>
      <w:i/>
      <w:iCs/>
      <w:color w:val="0F4761" w:themeColor="accent1" w:themeShade="BF"/>
    </w:rPr>
  </w:style>
  <w:style w:type="paragraph" w:styleId="IntenseQuote">
    <w:name w:val="Intense Quote"/>
    <w:basedOn w:val="Normal"/>
    <w:next w:val="Normal"/>
    <w:link w:val="IntenseQuoteChar"/>
    <w:uiPriority w:val="30"/>
    <w:qFormat/>
    <w:rsid w:val="0098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C03"/>
    <w:rPr>
      <w:i/>
      <w:iCs/>
      <w:color w:val="0F4761" w:themeColor="accent1" w:themeShade="BF"/>
    </w:rPr>
  </w:style>
  <w:style w:type="character" w:styleId="IntenseReference">
    <w:name w:val="Intense Reference"/>
    <w:basedOn w:val="DefaultParagraphFont"/>
    <w:uiPriority w:val="32"/>
    <w:qFormat/>
    <w:rsid w:val="00983C03"/>
    <w:rPr>
      <w:b/>
      <w:bCs/>
      <w:smallCaps/>
      <w:color w:val="0F4761" w:themeColor="accent1" w:themeShade="BF"/>
      <w:spacing w:val="5"/>
    </w:rPr>
  </w:style>
  <w:style w:type="paragraph" w:styleId="NormalWeb">
    <w:name w:val="Normal (Web)"/>
    <w:basedOn w:val="Normal"/>
    <w:uiPriority w:val="99"/>
    <w:semiHidden/>
    <w:unhideWhenUsed/>
    <w:rsid w:val="00983C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83C03"/>
    <w:rPr>
      <w:color w:val="467886" w:themeColor="hyperlink"/>
      <w:u w:val="single"/>
    </w:rPr>
  </w:style>
  <w:style w:type="character" w:styleId="UnresolvedMention">
    <w:name w:val="Unresolved Mention"/>
    <w:basedOn w:val="DefaultParagraphFont"/>
    <w:uiPriority w:val="99"/>
    <w:semiHidden/>
    <w:unhideWhenUsed/>
    <w:rsid w:val="0098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rpa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Ahiagble</dc:creator>
  <cp:keywords/>
  <dc:description/>
  <cp:lastModifiedBy>Richard Ahiagble</cp:lastModifiedBy>
  <cp:revision>2</cp:revision>
  <dcterms:created xsi:type="dcterms:W3CDTF">2025-09-19T11:40:00Z</dcterms:created>
  <dcterms:modified xsi:type="dcterms:W3CDTF">2025-09-19T11:50:00Z</dcterms:modified>
</cp:coreProperties>
</file>