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 w:after="60"/>
      </w:pPr>
      <w:r>
        <w:rPr>
          <w:rFonts w:ascii="Arial" w:cs="Arial" w:eastAsia="Arial" w:hAnsi="Arial"/>
          <w:color w:val="777777"/>
          <w:sz w:val="18"/>
          <w:szCs w:val="18"/>
        </w:rPr>
        <w:t xml:space="preserve">Accra, Ghana  |  10 March 2026</w:t>
      </w:r>
    </w:p>
    <w:p>
      <w:pPr>
        <w:spacing w:before="0" w:after="240"/>
      </w:pPr>
    </w:p>
    <w:p>
      <w:pPr>
        <w:spacing w:before="0" w:after="80"/>
        <w:jc w:val="left"/>
      </w:pPr>
      <w:r>
        <w:rPr>
          <w:rFonts w:ascii="Arial" w:cs="Arial" w:eastAsia="Arial" w:hAnsi="Arial"/>
          <w:b/>
          <w:bCs/>
          <w:color w:val="1A1A1A"/>
          <w:sz w:val="36"/>
          <w:szCs w:val="36"/>
        </w:rPr>
        <w:t xml:space="preserve">CDABI Ghana Chapter Welcomes SEC Ghana’s</w:t>
      </w:r>
    </w:p>
    <w:p>
      <w:pPr>
        <w:spacing w:before="0" w:after="60"/>
        <w:jc w:val="left"/>
      </w:pPr>
      <w:r>
        <w:rPr>
          <w:rFonts w:ascii="Arial" w:cs="Arial" w:eastAsia="Arial" w:hAnsi="Arial"/>
          <w:b/>
          <w:bCs/>
          <w:color w:val="1A1A1A"/>
          <w:sz w:val="36"/>
          <w:szCs w:val="36"/>
        </w:rPr>
        <w:t xml:space="preserve">Securities Industry (Regulatory Sandbox Licensing)</w:t>
      </w:r>
    </w:p>
    <w:p>
      <w:pPr>
        <w:spacing w:before="0" w:after="40"/>
        <w:jc w:val="left"/>
      </w:pPr>
      <w:r>
        <w:rPr>
          <w:rFonts w:ascii="Arial" w:cs="Arial" w:eastAsia="Arial" w:hAnsi="Arial"/>
          <w:b/>
          <w:bCs/>
          <w:color w:val="C0943A"/>
          <w:sz w:val="36"/>
          <w:szCs w:val="36"/>
        </w:rPr>
        <w:t xml:space="preserve">Guidelines 2026</w:t>
      </w:r>
    </w:p>
    <w:p>
      <w:pPr>
        <w:pBdr>
          <w:bottom w:val="single" w:color="C0943A" w:sz="12" w:space="1"/>
        </w:pBdr>
        <w:spacing w:before="100" w:after="320"/>
      </w:pPr>
    </w:p>
    <w:p>
      <w:pPr>
        <w:spacing w:before="120" w:after="180"/>
        <w:jc w:val="both"/>
      </w:pPr>
      <w:r>
        <w:rPr>
          <w:rFonts w:ascii="Georgia" w:cs="Georgia" w:eastAsia="Georgia" w:hAnsi="Georgia"/>
          <w:b/>
          <w:bCs/>
          <w:color w:val="1A1A1A"/>
          <w:sz w:val="22"/>
          <w:szCs w:val="22"/>
        </w:rPr>
        <w:t xml:space="preserve">The Chamber of Digital Assets and Blockchain Innovations (CDABI) Ghana Chapter warmly welcomes the publication of the Securities Industry (Regulatory Sandbox Licensing) Guidelines 2026 (SEC/GUI/001/03/2026) by the Securities and Exchange Commission, Ghana.</w:t>
      </w:r>
    </w:p>
    <w:p>
      <w:pPr>
        <w:spacing w:before="120" w:after="180"/>
        <w:jc w:val="both"/>
      </w:pPr>
      <w:r>
        <w:rPr>
          <w:rFonts w:ascii="Georgia" w:cs="Georgia" w:eastAsia="Georgia" w:hAnsi="Georgia"/>
          <w:color w:val="1A1A1A"/>
          <w:sz w:val="22"/>
          <w:szCs w:val="22"/>
        </w:rPr>
        <w:t xml:space="preserve">This is a landmark development for Ghana’s virtual asset and digital finance ecosystem. The Guidelines represent a decisive and well-considered step toward providing a structured, risk-proportionate pathway for innovative capital market products and services to be tested and developed within a supervised regulatory environment.</w:t>
      </w:r>
    </w:p>
    <w:p>
      <w:pPr>
        <w:spacing w:before="120" w:after="180"/>
        <w:jc w:val="both"/>
      </w:pPr>
      <w:r>
        <w:rPr>
          <w:rFonts w:ascii="Georgia" w:cs="Georgia" w:eastAsia="Georgia" w:hAnsi="Georgia"/>
          <w:color w:val="1A1A1A"/>
          <w:sz w:val="22"/>
          <w:szCs w:val="22"/>
        </w:rPr>
        <w:t xml:space="preserve">CDABI is particularly encouraged by several features of the Guidelines. The introduction of a dedicated Virtual Asset Sandbox Track, anchored explicitly to the Virtual Asset Service Providers Act, 2025 (Act 1154), reflects a maturing regulatory architecture that recognises the distinct characteristics, risks, and opportunities presented by virtual assets. This alignment between the SEC’s sandbox framework and the broader VASP regulatory regime is precisely the kind of institutional coherence that builds investor confidence and attracts responsible innovation to Ghana.</w:t>
      </w:r>
    </w:p>
    <w:p>
      <w:pPr>
        <w:spacing w:before="120" w:after="180"/>
        <w:jc w:val="both"/>
      </w:pPr>
      <w:r>
        <w:rPr>
          <w:rFonts w:ascii="Georgia" w:cs="Georgia" w:eastAsia="Georgia" w:hAnsi="Georgia"/>
          <w:color w:val="1A1A1A"/>
          <w:sz w:val="22"/>
          <w:szCs w:val="22"/>
        </w:rPr>
        <w:t xml:space="preserve">The inclusion of robust consumer protection provisions, binding KPI and risk disclosure obligations, and the 30% local participation threshold for foreign Virtual Asset Service Providers are further evidence that SEC Ghana has approached this framework with both investor protection and national economic interest in mind.</w:t>
      </w:r>
    </w:p>
    <w:p>
      <w:pPr>
        <w:spacing w:before="120" w:after="180"/>
        <w:jc w:val="both"/>
      </w:pPr>
      <w:r>
        <w:rPr>
          <w:rFonts w:ascii="Georgia" w:cs="Georgia" w:eastAsia="Georgia" w:hAnsi="Georgia"/>
          <w:color w:val="1A1A1A"/>
          <w:sz w:val="22"/>
          <w:szCs w:val="22"/>
        </w:rPr>
        <w:t xml:space="preserve">CDABI also commends the SEC for the transparency and thoroughness of the application and approval architecture, including the phased process outlined in Annex C and the comprehensive documentation requirements that set clear expectations for prospective applicants.</w:t>
      </w:r>
    </w:p>
    <w:p>
      <w:pPr>
        <w:spacing w:before="120" w:after="180"/>
        <w:jc w:val="both"/>
      </w:pPr>
      <w:r>
        <w:rPr>
          <w:rFonts w:ascii="Georgia" w:cs="Georgia" w:eastAsia="Georgia" w:hAnsi="Georgia"/>
          <w:color w:val="1A1A1A"/>
          <w:sz w:val="22"/>
          <w:szCs w:val="22"/>
        </w:rPr>
        <w:t xml:space="preserve">As a leading industry membership and self-regulatory organisation operating within Ghana’s virtual asset and digital finance sector, CDABI works in close collaboration with the Bank of Ghana, the Securities and Exchange Commission Ghana, and the Virtual Assets Regulatory Office in support of a well-regulated, transparent, and inclusive digital asset market. The Chamber remains committed to supporting the effective implementation of this framework. We stand ready to assist our member firms and the broader industry in understanding and navigating the sandbox application process, and to continue working constructively with the SEC and other regulatory authorities toward a well-regulated, competitive, and inclusive digital asset market in Ghana.</w:t>
      </w:r>
    </w:p>
    <w:p>
      <w:pPr>
        <w:spacing w:before="120" w:after="360"/>
        <w:jc w:val="both"/>
      </w:pPr>
      <w:r>
        <w:rPr>
          <w:rFonts w:ascii="Georgia" w:cs="Georgia" w:eastAsia="Georgia" w:hAnsi="Georgia"/>
          <w:color w:val="1A1A1A"/>
          <w:sz w:val="22"/>
          <w:szCs w:val="22"/>
        </w:rPr>
        <w:t xml:space="preserve">We encourage all eligible firms, whether established capital market operators, FinTechs, or Virtual Asset Service Providers, to engage seriously with these Guidelines and to contact CDABI for guidance and support.</w:t>
      </w:r>
    </w:p>
    <w:p>
      <w:pPr>
        <w:pBdr>
          <w:bottom w:val="single" w:color="C0943A" w:sz="12" w:space="1"/>
        </w:pBdr>
        <w:spacing w:before="100" w:after="320"/>
      </w:pPr>
    </w:p>
    <w:p>
      <w:pPr>
        <w:spacing w:before="0" w:after="60"/>
      </w:pPr>
      <w:r>
        <w:rPr>
          <w:rFonts w:ascii="Arial" w:cs="Arial" w:eastAsia="Arial" w:hAnsi="Arial"/>
          <w:b/>
          <w:bCs/>
          <w:color w:val="C0943A"/>
          <w:sz w:val="16"/>
          <w:szCs w:val="16"/>
        </w:rPr>
        <w:t xml:space="preserve">ABOUT CDABI GHANA CHAPTER</w:t>
      </w:r>
    </w:p>
    <w:p>
      <w:pPr>
        <w:spacing w:before="0" w:after="80"/>
      </w:pPr>
    </w:p>
    <w:p>
      <w:pPr>
        <w:spacing w:before="120" w:after="180"/>
        <w:jc w:val="both"/>
      </w:pPr>
      <w:r>
        <w:rPr>
          <w:rFonts w:ascii="Georgia" w:cs="Georgia" w:eastAsia="Georgia" w:hAnsi="Georgia"/>
          <w:color w:val="444444"/>
          <w:sz w:val="20"/>
          <w:szCs w:val="20"/>
        </w:rPr>
        <w:t xml:space="preserve">The Chamber of Digital Assets and Blockchain Innovations (CDABI) Ghana Chapter is a leading industry membership and self-regulatory organisation operating within Ghana’s virtual asset and digital finance sector. CDABI works in close collaboration with the Bank of Ghana, the Securities and Exchange Commission Ghana, and the Virtual Assets Regulatory Office in support of a well-regulated, transparent, and inclusive digital asset market. The Chamber is committed to promoting responsible innovation, regulatory compliance, and industry capacity development across Ghana and the wider West African region.</w:t>
      </w:r>
    </w:p>
    <w:p>
      <w:pPr>
        <w:spacing w:before="160" w:after="80"/>
      </w:pPr>
    </w:p>
    <w:p>
      <w:pPr>
        <w:pBdr>
          <w:bottom w:val="single" w:color="DDDDDD" w:sz="4" w:space="1"/>
        </w:pBdr>
        <w:spacing w:before="60" w:after="200"/>
      </w:pPr>
    </w:p>
    <w:p>
      <w:pPr>
        <w:spacing w:before="0" w:after="60"/>
      </w:pPr>
      <w:r>
        <w:rPr>
          <w:rFonts w:ascii="Arial" w:cs="Arial" w:eastAsia="Arial" w:hAnsi="Arial"/>
          <w:b/>
          <w:bCs/>
          <w:color w:val="C0943A"/>
          <w:sz w:val="16"/>
          <w:szCs w:val="16"/>
        </w:rPr>
        <w:t xml:space="preserve">MEDIA ENQUIRIES</w:t>
      </w:r>
    </w:p>
    <w:p>
      <w:pPr>
        <w:spacing w:before="0" w:after="80"/>
      </w:pPr>
    </w:p>
    <w:p>
      <w:pPr>
        <w:spacing w:before="60" w:after="60"/>
      </w:pPr>
      <w:r>
        <w:rPr>
          <w:rFonts w:ascii="Arial" w:cs="Arial" w:eastAsia="Arial" w:hAnsi="Arial"/>
          <w:b/>
          <w:bCs/>
          <w:color w:val="1A1A1A"/>
          <w:sz w:val="20"/>
          <w:szCs w:val="20"/>
        </w:rPr>
        <w:t xml:space="preserve">Communications and Media Department</w:t>
      </w:r>
    </w:p>
    <w:p>
      <w:pPr>
        <w:spacing w:before="40" w:after="40"/>
      </w:pPr>
      <w:r>
        <w:rPr>
          <w:rFonts w:ascii="Arial" w:cs="Arial" w:eastAsia="Arial" w:hAnsi="Arial"/>
          <w:color w:val="444444"/>
          <w:sz w:val="20"/>
          <w:szCs w:val="20"/>
        </w:rPr>
        <w:t xml:space="preserve">CDABI Ghana Chapter</w:t>
      </w:r>
    </w:p>
    <w:p>
      <w:pPr>
        <w:spacing w:before="40" w:after="40"/>
      </w:pPr>
      <w:r>
        <w:rPr>
          <w:rFonts w:ascii="Arial" w:cs="Arial" w:eastAsia="Arial" w:hAnsi="Arial"/>
          <w:color w:val="444444"/>
          <w:sz w:val="20"/>
          <w:szCs w:val="20"/>
        </w:rPr>
        <w:t xml:space="preserve">T: +233-55-013-1234</w:t>
      </w:r>
    </w:p>
    <w:p>
      <w:pPr>
        <w:spacing w:before="40" w:after="40"/>
      </w:pPr>
      <w:r>
        <w:rPr>
          <w:rFonts w:ascii="Arial" w:cs="Arial" w:eastAsia="Arial" w:hAnsi="Arial"/>
          <w:color w:val="444444"/>
          <w:sz w:val="20"/>
          <w:szCs w:val="20"/>
        </w:rPr>
        <w:t xml:space="preserve">E: info@cdabi.com</w:t>
      </w:r>
    </w:p>
    <w:sectPr>
      <w:headerReference w:type="default" r:id="rId6"/>
      <w:footerReference w:type="default" r:id="rId7"/>
      <w:pgSz w:w="11906" w:h="16838"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bottom w:val="single" w:color="DDDDDD" w:sz="4" w:space="1"/>
      </w:pBdr>
      <w:spacing w:before="60" w:after="80"/>
    </w:pPr>
  </w:p>
  <w:p>
    <w:pPr>
      <w:tabs>
        <w:tab w:val="right" w:pos="9026"/>
      </w:tabs>
      <w:spacing w:before="80" w:after="0"/>
    </w:pPr>
    <w:r>
      <w:rPr>
        <w:rFonts w:ascii="Arial" w:cs="Arial" w:eastAsia="Arial" w:hAnsi="Arial"/>
        <w:color w:val="777777"/>
        <w:sz w:val="16"/>
        <w:szCs w:val="16"/>
      </w:rPr>
      <w:t xml:space="preserve">Chamber of Digital Assets and Blockchain Innovations</w:t>
    </w:r>
    <w:r>
      <w:rPr>
        <w:rFonts w:ascii="Arial" w:cs="Arial" w:eastAsia="Arial" w:hAnsi="Arial"/>
        <w:color w:val="777777"/>
        <w:sz w:val="16"/>
        <w:szCs w:val="16"/>
      </w:rPr>
      <w:t xml:space="preserve">	Page </w:t>
    </w:r>
    <w:r>
      <w:rPr>
        <w:rFonts w:ascii="Arial" w:cs="Arial" w:eastAsia="Arial" w:hAnsi="Arial"/>
        <w:color w:val="777777"/>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top w:val="single" w:color="C0943A" w:sz="24" w:space="0"/>
      </w:pBdr>
      <w:spacing w:before="0" w:after="0"/>
    </w:pPr>
  </w:p>
  <w:p>
    <w:pPr>
      <w:tabs>
        <w:tab w:val="right" w:pos="9026"/>
      </w:tabs>
      <w:spacing w:before="120" w:after="80"/>
    </w:pPr>
    <w:r>
      <w:rPr>
        <w:rFonts w:ascii="Arial" w:cs="Arial" w:eastAsia="Arial" w:hAnsi="Arial"/>
        <w:b/>
        <w:bCs/>
        <w:color w:val="1A1A1A"/>
        <w:sz w:val="18"/>
        <w:szCs w:val="18"/>
      </w:rPr>
      <w:t xml:space="preserve">CDABI GHANA CHAPTER</w:t>
    </w:r>
    <w:r>
      <w:rPr>
        <w:rFonts w:ascii="Arial" w:cs="Arial" w:eastAsia="Arial" w:hAnsi="Arial"/>
        <w:sz w:val="18"/>
        <w:szCs w:val="18"/>
      </w:rPr>
      <w:t xml:space="preserve">	</w:t>
    </w:r>
    <w:r>
      <w:rPr>
        <w:rFonts w:ascii="Arial" w:cs="Arial" w:eastAsia="Arial" w:hAnsi="Arial"/>
        <w:b/>
        <w:bCs/>
        <w:color w:val="C0943A"/>
        <w:sz w:val="16"/>
        <w:szCs w:val="16"/>
      </w:rPr>
      <w:t xml:space="preserve">FOR IMMEDIATE RELEASE</w:t>
    </w:r>
  </w:p>
  <w:p>
    <w:pPr>
      <w:pBdr>
        <w:bottom w:val="single" w:color="DDDDDD" w:sz="4" w:space="1"/>
      </w:pBdr>
      <w:spacing w:before="60" w:after="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2026-03-09T22:51:00.106Z</dcterms:created>
  <dcterms:modified xsi:type="dcterms:W3CDTF">2026-03-09T22:51:00.107Z</dcterms:modified>
</cp:coreProperties>
</file>

<file path=docProps/custom.xml><?xml version="1.0" encoding="utf-8"?>
<Properties xmlns="http://schemas.openxmlformats.org/officeDocument/2006/custom-properties" xmlns:vt="http://schemas.openxmlformats.org/officeDocument/2006/docPropsVTypes"/>
</file>